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FF" w:rsidRDefault="0083130E" w:rsidP="006E3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130E">
        <w:pict>
          <v:rect id="_x0000_s1130" style="position:absolute;left:0;text-align:left;margin-left:258pt;margin-top:-190.8pt;width:3.95pt;height:520.9pt;rotation:90;z-index:-251544576" fillcolor="#ffc000" stroked="f">
            <v:fill rotate="t" focus="50%" type="gradient"/>
          </v:rect>
        </w:pict>
      </w:r>
      <w:r w:rsidR="006E3B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0" cy="1009015"/>
            <wp:effectExtent l="19050" t="0" r="6350" b="0"/>
            <wp:docPr id="2" name="Рисунок 1" descr="лого пн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пн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FF" w:rsidRDefault="006E3BFF" w:rsidP="006E3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6E3BFF" w:rsidRDefault="006E3BFF" w:rsidP="006E3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160000, Казахстан, г.Шымкент, 16 м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н, </w:t>
      </w:r>
      <w:r>
        <w:rPr>
          <w:rFonts w:ascii="Times New Roman" w:hAnsi="Times New Roman" w:cs="Times New Roman"/>
          <w:sz w:val="20"/>
          <w:szCs w:val="20"/>
        </w:rPr>
        <w:t>д.</w:t>
      </w:r>
      <w:r>
        <w:rPr>
          <w:rFonts w:ascii="Times New Roman" w:hAnsi="Times New Roman" w:cs="Times New Roman"/>
          <w:sz w:val="20"/>
          <w:szCs w:val="20"/>
          <w:lang w:val="kk-KZ"/>
        </w:rPr>
        <w:t>40, кв.19. ИИН/БИН 200140033070</w:t>
      </w:r>
    </w:p>
    <w:p w:rsidR="00F05879" w:rsidRDefault="00F05879" w:rsidP="00F05879">
      <w:pPr>
        <w:shd w:val="clear" w:color="auto" w:fill="FFFFFF"/>
        <w:spacing w:after="0" w:line="240" w:lineRule="auto"/>
        <w:ind w:right="2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АО «Народный Банк Казахстан», БИК Банка: HSBKKZKX, </w:t>
      </w:r>
      <w:r>
        <w:rPr>
          <w:rFonts w:ascii="Times New Roman" w:hAnsi="Times New Roman" w:cs="Times New Roman"/>
          <w:sz w:val="20"/>
          <w:szCs w:val="20"/>
          <w:lang w:val="kk-KZ"/>
        </w:rPr>
        <w:t>БИН банка 940141000043</w:t>
      </w:r>
    </w:p>
    <w:p w:rsidR="00F05879" w:rsidRPr="00C40657" w:rsidRDefault="00F05879" w:rsidP="00F05879">
      <w:pPr>
        <w:shd w:val="clear" w:color="auto" w:fill="FFFFFF"/>
        <w:spacing w:after="0" w:line="240" w:lineRule="auto"/>
        <w:ind w:right="2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ИИК</w:t>
      </w:r>
      <w:r w:rsidRPr="00C40657">
        <w:rPr>
          <w:rFonts w:ascii="Times New Roman" w:hAnsi="Times New Roman" w:cs="Times New Roman"/>
          <w:sz w:val="20"/>
          <w:szCs w:val="20"/>
          <w:lang w:val="en-US"/>
        </w:rPr>
        <w:t>: KZ81601A291000</w:t>
      </w:r>
      <w:r w:rsidR="00AD2A58" w:rsidRPr="00C40657">
        <w:rPr>
          <w:rFonts w:ascii="Times New Roman" w:hAnsi="Times New Roman" w:cs="Times New Roman"/>
          <w:sz w:val="20"/>
          <w:szCs w:val="20"/>
          <w:lang w:val="en-US"/>
        </w:rPr>
        <w:t>405531</w:t>
      </w:r>
    </w:p>
    <w:p w:rsidR="006E3BFF" w:rsidRDefault="006E3BFF" w:rsidP="006E3BF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Тел.: </w:t>
      </w:r>
      <w:r>
        <w:rPr>
          <w:rFonts w:ascii="Times New Roman" w:hAnsi="Times New Roman" w:cs="Times New Roman"/>
          <w:b/>
          <w:color w:val="170BB5"/>
          <w:sz w:val="20"/>
          <w:szCs w:val="20"/>
          <w:lang w:val="kk-KZ"/>
        </w:rPr>
        <w:t xml:space="preserve">8 (725-2) </w:t>
      </w:r>
      <w:r>
        <w:rPr>
          <w:rFonts w:ascii="Times New Roman" w:hAnsi="Times New Roman" w:cs="Times New Roman"/>
          <w:b/>
          <w:color w:val="170BB5"/>
          <w:sz w:val="20"/>
          <w:szCs w:val="20"/>
          <w:lang w:val="en-US"/>
        </w:rPr>
        <w:t>77-</w:t>
      </w:r>
      <w:r>
        <w:rPr>
          <w:rFonts w:ascii="Times New Roman" w:hAnsi="Times New Roman" w:cs="Times New Roman"/>
          <w:b/>
          <w:color w:val="170BB5"/>
          <w:sz w:val="20"/>
          <w:szCs w:val="20"/>
          <w:lang w:val="kk-KZ"/>
        </w:rPr>
        <w:t>33-16</w:t>
      </w:r>
      <w:r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,  </w:t>
      </w:r>
      <w:r>
        <w:rPr>
          <w:rFonts w:ascii="Times New Roman" w:hAnsi="Times New Roman" w:cs="Times New Roman"/>
          <w:b/>
          <w:color w:val="00518E"/>
          <w:sz w:val="20"/>
          <w:szCs w:val="20"/>
          <w:lang w:val="kk-KZ"/>
        </w:rPr>
        <w:t>+7–775–13–616–07</w:t>
      </w:r>
      <w:r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.   </w:t>
      </w:r>
      <w:hyperlink r:id="rId7" w:history="1">
        <w:r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www.Q-BiC.kz</w:t>
        </w:r>
      </w:hyperlink>
      <w:r>
        <w:rPr>
          <w:rFonts w:ascii="Times New Roman" w:hAnsi="Times New Roman" w:cs="Times New Roman"/>
          <w:color w:val="00518E"/>
          <w:sz w:val="20"/>
          <w:szCs w:val="20"/>
          <w:lang w:val="en-US"/>
        </w:rPr>
        <w:t xml:space="preserve">   e</w:t>
      </w:r>
      <w:r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-mail: </w:t>
      </w:r>
      <w:r w:rsidR="0083130E">
        <w:fldChar w:fldCharType="begin"/>
      </w:r>
      <w:r w:rsidR="00C76EC2" w:rsidRPr="006D19BB">
        <w:rPr>
          <w:lang w:val="en-US"/>
        </w:rPr>
        <w:instrText>HYPERLINK "mailto:Q-BC@mail.ru"</w:instrText>
      </w:r>
      <w:r w:rsidR="0083130E">
        <w:fldChar w:fldCharType="separate"/>
      </w:r>
      <w:r>
        <w:rPr>
          <w:rStyle w:val="a6"/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Style w:val="a6"/>
          <w:rFonts w:ascii="Times New Roman" w:hAnsi="Times New Roman" w:cs="Times New Roman"/>
          <w:b/>
          <w:sz w:val="20"/>
          <w:szCs w:val="20"/>
          <w:lang w:val="en-US"/>
        </w:rPr>
        <w:t>-</w:t>
      </w:r>
      <w:r>
        <w:rPr>
          <w:rStyle w:val="a6"/>
          <w:rFonts w:ascii="Times New Roman" w:hAnsi="Times New Roman" w:cs="Times New Roman"/>
          <w:sz w:val="20"/>
          <w:szCs w:val="20"/>
          <w:lang w:val="en-US"/>
        </w:rPr>
        <w:t>BC@mail.ru</w:t>
      </w:r>
      <w:r w:rsidR="0083130E">
        <w:fldChar w:fldCharType="end"/>
      </w:r>
    </w:p>
    <w:p w:rsidR="006E3BFF" w:rsidRPr="00B01C48" w:rsidRDefault="006E3BFF" w:rsidP="006E3B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A4225" w:rsidRPr="00B01C48" w:rsidRDefault="0083130E" w:rsidP="006E3B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13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32.95pt;margin-top:9pt;width:173.95pt;height:32.65pt;z-index:251760640;mso-height-percent:200;mso-height-percent:200;mso-width-relative:margin;mso-height-relative:margin" filled="f" stroked="f">
            <v:textbox style="mso-next-textbox:#_x0000_s1121;mso-fit-shape-to-text:t">
              <w:txbxContent>
                <w:p w:rsidR="006E3BFF" w:rsidRPr="006D19BB" w:rsidRDefault="006D19BB" w:rsidP="006E3BF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31</w:t>
                  </w:r>
                  <w:r w:rsidR="006E3BFF" w:rsidRPr="00F961C5">
                    <w:t>.</w:t>
                  </w:r>
                  <w:r w:rsidR="0001769B">
                    <w:t>0</w:t>
                  </w:r>
                  <w:r w:rsidR="00B01C48">
                    <w:t>1</w:t>
                  </w:r>
                  <w:r w:rsidR="00D57075">
                    <w:t>.202</w:t>
                  </w:r>
                  <w:r w:rsidR="0001769B">
                    <w:t>3</w:t>
                  </w:r>
                  <w:r w:rsidR="00D57075">
                    <w:t xml:space="preserve"> </w:t>
                  </w:r>
                  <w:r w:rsidR="006E3BFF">
                    <w:t xml:space="preserve">                 1-02/</w:t>
                  </w:r>
                  <w:r w:rsidR="00F05879">
                    <w:t>2</w:t>
                  </w:r>
                  <w:r w:rsidR="0001769B">
                    <w:t>2</w:t>
                  </w:r>
                  <w:r>
                    <w:rPr>
                      <w:lang w:val="kk-KZ"/>
                    </w:rPr>
                    <w:t>8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2127"/>
      </w:tblGrid>
      <w:tr w:rsidR="006E3BFF" w:rsidTr="00734E8B">
        <w:tc>
          <w:tcPr>
            <w:tcW w:w="7371" w:type="dxa"/>
          </w:tcPr>
          <w:p w:rsidR="006E3BFF" w:rsidRDefault="006E3BFF" w:rsidP="00D1089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_____________ № __________</w:t>
            </w:r>
          </w:p>
          <w:p w:rsidR="006E3BFF" w:rsidRDefault="006E3BFF" w:rsidP="00D1089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6E3BFF" w:rsidRDefault="006E3BFF" w:rsidP="00D108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6E3BFF" w:rsidRDefault="006E50E1" w:rsidP="006E50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  <w:r w:rsidR="00A10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еріктес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</w:t>
            </w:r>
            <w:r w:rsidR="00734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қу орындарына</w:t>
            </w:r>
          </w:p>
        </w:tc>
      </w:tr>
    </w:tbl>
    <w:p w:rsidR="00EC54A4" w:rsidRDefault="00EC54A4" w:rsidP="006E3B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75B76" w:rsidRDefault="00D75B76" w:rsidP="00D75B76">
      <w:pPr>
        <w:shd w:val="clear" w:color="auto" w:fill="FFFFFF"/>
        <w:spacing w:after="0" w:line="240" w:lineRule="auto"/>
        <w:ind w:right="260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C23F0F" w:rsidRDefault="00C23F0F" w:rsidP="006D19BB">
      <w:pPr>
        <w:shd w:val="clear" w:color="auto" w:fill="FFFFFF"/>
        <w:spacing w:after="0" w:line="240" w:lineRule="auto"/>
        <w:ind w:right="260"/>
        <w:jc w:val="center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D75B76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Құрметті </w:t>
      </w:r>
      <w:r w:rsidR="00676475">
        <w:rPr>
          <w:rFonts w:ascii="Times New Roman" w:hAnsi="Times New Roman" w:cs="Times New Roman"/>
          <w:color w:val="7030A0"/>
          <w:sz w:val="28"/>
          <w:szCs w:val="28"/>
          <w:lang w:val="kk-KZ"/>
        </w:rPr>
        <w:t>достар</w:t>
      </w:r>
      <w:r w:rsidRPr="00D75B76">
        <w:rPr>
          <w:rFonts w:ascii="Times New Roman" w:hAnsi="Times New Roman" w:cs="Times New Roman"/>
          <w:color w:val="7030A0"/>
          <w:sz w:val="28"/>
          <w:szCs w:val="28"/>
          <w:lang w:val="kk-KZ"/>
        </w:rPr>
        <w:t>!</w:t>
      </w:r>
    </w:p>
    <w:p w:rsidR="006D19BB" w:rsidRPr="00D75B76" w:rsidRDefault="006D19BB" w:rsidP="00D75B7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</w:pPr>
    </w:p>
    <w:p w:rsidR="00EC54A4" w:rsidRDefault="002D0372" w:rsidP="006D19BB">
      <w:pPr>
        <w:shd w:val="clear" w:color="auto" w:fill="FFFFFF"/>
        <w:spacing w:after="0" w:line="240" w:lineRule="auto"/>
        <w:ind w:left="708" w:right="2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</w:pPr>
      <w:r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Сіздердің назар</w:t>
      </w:r>
      <w:r w:rsidR="00957E5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ларыңызғ</w:t>
      </w:r>
      <w:r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а</w:t>
      </w:r>
      <w:r w:rsidR="0001769B"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 xml:space="preserve"> </w:t>
      </w:r>
      <w:r w:rsidR="006D19B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Байқоңырдағы</w:t>
      </w:r>
      <w:r w:rsidR="0001769B"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 xml:space="preserve"> </w:t>
      </w:r>
      <w:r w:rsidR="00676475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ә</w:t>
      </w:r>
      <w:r w:rsidR="0001769B"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рі</w:t>
      </w:r>
      <w:r w:rsidR="00676475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п</w:t>
      </w:r>
      <w:r w:rsidR="0001769B"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те</w:t>
      </w:r>
      <w:r w:rsidR="00676475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сте</w:t>
      </w:r>
      <w:r w:rsidR="0001769B"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рімізден</w:t>
      </w:r>
      <w:r w:rsidR="006D19B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 xml:space="preserve"> келген Шақыру:</w:t>
      </w:r>
    </w:p>
    <w:p w:rsidR="006D19BB" w:rsidRDefault="006D19BB" w:rsidP="006D19BB">
      <w:pPr>
        <w:shd w:val="clear" w:color="auto" w:fill="FFFFFF"/>
        <w:spacing w:after="0" w:line="240" w:lineRule="auto"/>
        <w:ind w:left="708" w:right="2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</w:pPr>
    </w:p>
    <w:p w:rsidR="006D19BB" w:rsidRPr="00D75B76" w:rsidRDefault="006D19BB" w:rsidP="006D19BB">
      <w:pPr>
        <w:shd w:val="clear" w:color="auto" w:fill="FFFFFF"/>
        <w:spacing w:after="0" w:line="240" w:lineRule="auto"/>
        <w:ind w:left="708" w:right="2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</w:pPr>
    </w:p>
    <w:p w:rsidR="00EC54A4" w:rsidRDefault="00EC54A4" w:rsidP="00676475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6D19BB" w:rsidRDefault="006D19BB" w:rsidP="006D19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6D19BB" w:rsidRDefault="006D19BB" w:rsidP="006D19BB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О проведении XL</w:t>
      </w:r>
      <w:r>
        <w:rPr>
          <w:b/>
          <w:sz w:val="26"/>
          <w:szCs w:val="26"/>
          <w:lang w:val="en-US"/>
        </w:rPr>
        <w:t>IX</w:t>
      </w:r>
      <w:r>
        <w:rPr>
          <w:b/>
          <w:color w:val="000000"/>
          <w:sz w:val="26"/>
          <w:szCs w:val="26"/>
        </w:rPr>
        <w:t xml:space="preserve"> Международной молодёжной научной конференции «</w:t>
      </w:r>
      <w:proofErr w:type="spellStart"/>
      <w:r>
        <w:rPr>
          <w:b/>
          <w:color w:val="000000"/>
          <w:sz w:val="26"/>
          <w:szCs w:val="26"/>
        </w:rPr>
        <w:t>Гагаринские</w:t>
      </w:r>
      <w:proofErr w:type="spellEnd"/>
      <w:r>
        <w:rPr>
          <w:b/>
          <w:color w:val="000000"/>
          <w:sz w:val="26"/>
          <w:szCs w:val="26"/>
        </w:rPr>
        <w:t xml:space="preserve"> чтения» </w:t>
      </w:r>
    </w:p>
    <w:p w:rsidR="006D19BB" w:rsidRDefault="006D19BB" w:rsidP="006D19B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(площадка – филиал «Восход» МАИ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Байконуре)</w:t>
      </w:r>
    </w:p>
    <w:p w:rsidR="006D19BB" w:rsidRDefault="006D19BB" w:rsidP="006D19BB">
      <w:pPr>
        <w:jc w:val="center"/>
        <w:rPr>
          <w:sz w:val="16"/>
          <w:szCs w:val="26"/>
        </w:rPr>
      </w:pPr>
    </w:p>
    <w:p w:rsidR="006D19BB" w:rsidRDefault="006D19BB" w:rsidP="006D19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07-08 апреля 2023 года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Организатор: Московский авиационный институт (национальный исследовательский университет), филиал «Восход» МАИ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 Байконуре.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Конференция пройдет в г. Байконур в большом и малом </w:t>
      </w:r>
      <w:proofErr w:type="spellStart"/>
      <w:proofErr w:type="gramStart"/>
      <w:r>
        <w:rPr>
          <w:sz w:val="26"/>
          <w:szCs w:val="26"/>
        </w:rPr>
        <w:t>конференц</w:t>
      </w:r>
      <w:proofErr w:type="spellEnd"/>
      <w:r>
        <w:rPr>
          <w:sz w:val="26"/>
          <w:szCs w:val="26"/>
        </w:rPr>
        <w:t xml:space="preserve"> - залах</w:t>
      </w:r>
      <w:proofErr w:type="gramEnd"/>
      <w:r>
        <w:rPr>
          <w:sz w:val="26"/>
          <w:szCs w:val="26"/>
        </w:rPr>
        <w:t xml:space="preserve"> филиала «Восход».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конференции приглашаются студенты, аспиранты, молодые учёные, сотрудники предприятий аэрокосмического комплекса России и </w:t>
      </w:r>
      <w:proofErr w:type="spellStart"/>
      <w:r>
        <w:rPr>
          <w:sz w:val="26"/>
          <w:szCs w:val="26"/>
        </w:rPr>
        <w:t>Казахстанав</w:t>
      </w:r>
      <w:proofErr w:type="spellEnd"/>
      <w:r>
        <w:rPr>
          <w:sz w:val="26"/>
          <w:szCs w:val="26"/>
        </w:rPr>
        <w:t xml:space="preserve"> возрасте до 27 лет (включительно), учащиеся общеобразовательных учреждений.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Рабочий язык конференции: русский.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Программа конференции включает в себя: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пленарное заседание;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заседания по секциям;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круглые столы с участием специалистов аэрокосмической отрасли.</w:t>
      </w:r>
    </w:p>
    <w:p w:rsidR="006D19BB" w:rsidRDefault="006D19BB" w:rsidP="006D19BB">
      <w:pPr>
        <w:jc w:val="center"/>
        <w:rPr>
          <w:sz w:val="16"/>
          <w:szCs w:val="26"/>
        </w:rPr>
      </w:pPr>
    </w:p>
    <w:p w:rsidR="006D19BB" w:rsidRDefault="006D19BB" w:rsidP="006D19BB">
      <w:pPr>
        <w:jc w:val="center"/>
        <w:rPr>
          <w:sz w:val="26"/>
          <w:szCs w:val="26"/>
          <w:lang w:val="kk-KZ"/>
        </w:rPr>
      </w:pPr>
      <w:r>
        <w:rPr>
          <w:sz w:val="26"/>
          <w:szCs w:val="26"/>
        </w:rPr>
        <w:lastRenderedPageBreak/>
        <w:t>Конференция проводится по следующим направлениям</w:t>
      </w:r>
    </w:p>
    <w:p w:rsidR="006D19BB" w:rsidRDefault="006D19BB" w:rsidP="006D19BB">
      <w:pPr>
        <w:jc w:val="center"/>
        <w:rPr>
          <w:sz w:val="26"/>
          <w:szCs w:val="26"/>
        </w:rPr>
      </w:pPr>
      <w:r>
        <w:rPr>
          <w:sz w:val="26"/>
          <w:szCs w:val="26"/>
        </w:rPr>
        <w:t>(секциям):</w:t>
      </w:r>
    </w:p>
    <w:p w:rsidR="006D19BB" w:rsidRDefault="006D19BB" w:rsidP="006D19BB">
      <w:pPr>
        <w:jc w:val="both"/>
        <w:rPr>
          <w:sz w:val="26"/>
          <w:szCs w:val="26"/>
        </w:rPr>
      </w:pPr>
      <w:r>
        <w:rPr>
          <w:sz w:val="26"/>
          <w:szCs w:val="26"/>
        </w:rPr>
        <w:t>1. Ракетные и космические системы: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Механика космического полета и проектно-баллистический анализ летательных аппаратов;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Проектирование летательных аппаратов. Прочность авиационных и ракетно-космических конструкций;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Проектирование и отработка теплонагруженных конструкций;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Анализ и синтез аэрокосмических систем;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Системы жизнеобеспечения и экологическая безопасность космической </w:t>
      </w:r>
      <w:bookmarkStart w:id="0" w:name="_GoBack"/>
      <w:r>
        <w:rPr>
          <w:sz w:val="26"/>
          <w:szCs w:val="26"/>
        </w:rPr>
        <w:t>деятельности;</w:t>
      </w:r>
    </w:p>
    <w:bookmarkEnd w:id="0"/>
    <w:p w:rsidR="006D19BB" w:rsidRP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Эксплуатация и безопасность аэрокосмических систем и комплексов.</w:t>
      </w:r>
    </w:p>
    <w:p w:rsidR="006D19BB" w:rsidRDefault="006D19BB" w:rsidP="006D19BB">
      <w:pPr>
        <w:spacing w:after="0" w:line="240" w:lineRule="auto"/>
        <w:ind w:left="709"/>
        <w:jc w:val="both"/>
        <w:rPr>
          <w:sz w:val="26"/>
          <w:szCs w:val="26"/>
        </w:rPr>
      </w:pPr>
    </w:p>
    <w:p w:rsidR="006D19BB" w:rsidRDefault="006D19BB" w:rsidP="006D19BB">
      <w:pPr>
        <w:jc w:val="both"/>
        <w:rPr>
          <w:sz w:val="26"/>
          <w:szCs w:val="26"/>
        </w:rPr>
      </w:pPr>
      <w:r>
        <w:rPr>
          <w:sz w:val="26"/>
          <w:szCs w:val="26"/>
        </w:rPr>
        <w:t>2. Системы управления, информатика и электроэнергетика: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движением, навигация и бортовые системы;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Вычислительные системы, сети и информационные технологии;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Электроника, конструирование и технология приборостроения;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Системное моделирование, клиент-серверные модели и </w:t>
      </w:r>
      <w:proofErr w:type="spellStart"/>
      <w:r>
        <w:rPr>
          <w:sz w:val="26"/>
          <w:szCs w:val="26"/>
        </w:rPr>
        <w:t>веб-разработка</w:t>
      </w:r>
      <w:proofErr w:type="spellEnd"/>
      <w:r>
        <w:rPr>
          <w:sz w:val="26"/>
          <w:szCs w:val="26"/>
        </w:rPr>
        <w:t>;</w:t>
      </w:r>
    </w:p>
    <w:p w:rsidR="006D19BB" w:rsidRP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Электротехника, электротехнические комплексы и электроника</w:t>
      </w:r>
    </w:p>
    <w:p w:rsidR="006D19BB" w:rsidRDefault="006D19BB" w:rsidP="006D19BB">
      <w:pPr>
        <w:spacing w:after="0" w:line="240" w:lineRule="auto"/>
        <w:ind w:left="709"/>
        <w:jc w:val="both"/>
        <w:rPr>
          <w:sz w:val="26"/>
          <w:szCs w:val="26"/>
        </w:rPr>
      </w:pPr>
    </w:p>
    <w:p w:rsidR="006D19BB" w:rsidRDefault="006D19BB" w:rsidP="006D19BB">
      <w:pPr>
        <w:jc w:val="both"/>
        <w:rPr>
          <w:sz w:val="26"/>
          <w:szCs w:val="26"/>
        </w:rPr>
      </w:pPr>
      <w:r>
        <w:rPr>
          <w:sz w:val="26"/>
          <w:szCs w:val="26"/>
        </w:rPr>
        <w:t>3. Математические методы в аэрокосмической науке и технике: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Теория управления и оптимизация;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Компьютерное моделирование и численный эксперимент;</w:t>
      </w:r>
    </w:p>
    <w:p w:rsidR="006D19BB" w:rsidRP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механика и дифференциальные уравнения.</w:t>
      </w:r>
    </w:p>
    <w:p w:rsidR="006D19BB" w:rsidRDefault="006D19BB" w:rsidP="006D19BB">
      <w:pPr>
        <w:spacing w:after="0" w:line="240" w:lineRule="auto"/>
        <w:ind w:left="709"/>
        <w:jc w:val="both"/>
        <w:rPr>
          <w:sz w:val="26"/>
          <w:szCs w:val="26"/>
        </w:rPr>
      </w:pPr>
    </w:p>
    <w:p w:rsidR="006D19BB" w:rsidRDefault="006D19BB" w:rsidP="006D19BB">
      <w:pPr>
        <w:jc w:val="both"/>
        <w:rPr>
          <w:sz w:val="26"/>
          <w:szCs w:val="26"/>
        </w:rPr>
      </w:pPr>
      <w:r>
        <w:rPr>
          <w:sz w:val="26"/>
          <w:szCs w:val="26"/>
        </w:rPr>
        <w:t>4. Экономика и менеджмент предприятий аэрокосмического комплекса: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Менеджмент и маркетинг высокотехнологичных предприятий;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персоналом аэрокосмической отрасли;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качеством;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Экономика инноваций и управление в промышленности;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Философские, историко-политические и социально-гуманитарные проблемы аэрокосмической деятельности;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и муниципальное управление;</w:t>
      </w:r>
    </w:p>
    <w:p w:rsid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Лингвистика;</w:t>
      </w:r>
    </w:p>
    <w:p w:rsidR="006D19BB" w:rsidRPr="006D19BB" w:rsidRDefault="006D19BB" w:rsidP="006D19BB">
      <w:pPr>
        <w:numPr>
          <w:ilvl w:val="0"/>
          <w:numId w:val="6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Связи с общественностью и реклама в аэрокосмической отрасли.</w:t>
      </w:r>
    </w:p>
    <w:p w:rsidR="006D19BB" w:rsidRDefault="006D19BB" w:rsidP="006D19BB">
      <w:pPr>
        <w:spacing w:after="0" w:line="240" w:lineRule="auto"/>
        <w:ind w:left="709"/>
        <w:jc w:val="both"/>
        <w:rPr>
          <w:sz w:val="26"/>
          <w:szCs w:val="26"/>
        </w:rPr>
      </w:pPr>
    </w:p>
    <w:p w:rsidR="006D19BB" w:rsidRDefault="006D19BB" w:rsidP="006D19BB">
      <w:pPr>
        <w:jc w:val="both"/>
        <w:rPr>
          <w:sz w:val="26"/>
          <w:szCs w:val="26"/>
        </w:rPr>
      </w:pPr>
      <w:r>
        <w:rPr>
          <w:sz w:val="26"/>
          <w:szCs w:val="26"/>
        </w:rPr>
        <w:t>5. Школьная сессия «Юный ученый» (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>. информационное сообщение о работе секции).</w:t>
      </w:r>
    </w:p>
    <w:p w:rsidR="006D19BB" w:rsidRDefault="006D19BB" w:rsidP="006D19BB">
      <w:pPr>
        <w:jc w:val="center"/>
        <w:rPr>
          <w:sz w:val="16"/>
          <w:szCs w:val="26"/>
        </w:rPr>
      </w:pP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</w:t>
      </w:r>
      <w:r>
        <w:rPr>
          <w:color w:val="000000"/>
          <w:sz w:val="26"/>
          <w:szCs w:val="26"/>
          <w:lang w:val="en-US"/>
        </w:rPr>
        <w:t>XLIX</w:t>
      </w:r>
      <w:r>
        <w:rPr>
          <w:color w:val="000000"/>
          <w:sz w:val="26"/>
          <w:szCs w:val="26"/>
          <w:lang w:val="kk-KZ"/>
        </w:rPr>
        <w:t xml:space="preserve"> </w:t>
      </w:r>
      <w:r>
        <w:rPr>
          <w:color w:val="000000"/>
          <w:sz w:val="26"/>
          <w:szCs w:val="26"/>
        </w:rPr>
        <w:t>Международной молодёжной научной конференции «</w:t>
      </w:r>
      <w:proofErr w:type="spellStart"/>
      <w:r>
        <w:rPr>
          <w:color w:val="000000"/>
          <w:sz w:val="26"/>
          <w:szCs w:val="26"/>
        </w:rPr>
        <w:t>Гагаринские</w:t>
      </w:r>
      <w:proofErr w:type="spellEnd"/>
      <w:r>
        <w:rPr>
          <w:color w:val="000000"/>
          <w:sz w:val="26"/>
          <w:szCs w:val="26"/>
        </w:rPr>
        <w:t xml:space="preserve"> чтения» необходимо </w:t>
      </w:r>
      <w:r>
        <w:rPr>
          <w:b/>
          <w:color w:val="000000"/>
          <w:sz w:val="26"/>
          <w:szCs w:val="26"/>
        </w:rPr>
        <w:t>до 03</w:t>
      </w:r>
      <w:r w:rsidR="00B8728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марта 2023 года</w:t>
      </w:r>
      <w:r>
        <w:rPr>
          <w:color w:val="000000"/>
          <w:sz w:val="26"/>
          <w:szCs w:val="26"/>
        </w:rPr>
        <w:t xml:space="preserve"> (включительно) оформить заявку на участие и направить тезисы докладов на сайте </w:t>
      </w:r>
      <w:hyperlink r:id="rId8" w:history="1">
        <w:r>
          <w:rPr>
            <w:rStyle w:val="a6"/>
            <w:color w:val="01698C"/>
            <w:sz w:val="26"/>
            <w:szCs w:val="26"/>
            <w:lang w:val="en-US"/>
          </w:rPr>
          <w:t>www</w:t>
        </w:r>
        <w:r>
          <w:rPr>
            <w:rStyle w:val="a6"/>
            <w:color w:val="01698C"/>
            <w:sz w:val="26"/>
            <w:szCs w:val="26"/>
          </w:rPr>
          <w:t>.</w:t>
        </w:r>
        <w:proofErr w:type="spellStart"/>
        <w:r>
          <w:rPr>
            <w:rStyle w:val="a6"/>
            <w:color w:val="01698C"/>
            <w:sz w:val="26"/>
            <w:szCs w:val="26"/>
          </w:rPr>
          <w:t>gagarin.mai.ru</w:t>
        </w:r>
        <w:proofErr w:type="spellEnd"/>
      </w:hyperlink>
      <w:r>
        <w:rPr>
          <w:color w:val="000000"/>
          <w:sz w:val="26"/>
          <w:szCs w:val="26"/>
        </w:rPr>
        <w:t>.</w:t>
      </w:r>
    </w:p>
    <w:p w:rsidR="006D19BB" w:rsidRDefault="006D19BB" w:rsidP="006D19BB">
      <w:pPr>
        <w:jc w:val="center"/>
        <w:rPr>
          <w:sz w:val="16"/>
          <w:szCs w:val="26"/>
        </w:rPr>
      </w:pPr>
    </w:p>
    <w:p w:rsidR="006D19BB" w:rsidRDefault="006D19BB" w:rsidP="006D19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Правила оформления заявки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откладывайте </w:t>
      </w:r>
      <w:hyperlink r:id="rId9" w:history="1">
        <w:r>
          <w:rPr>
            <w:rStyle w:val="a6"/>
            <w:sz w:val="26"/>
            <w:szCs w:val="26"/>
          </w:rPr>
          <w:t>подачу заявки</w:t>
        </w:r>
      </w:hyperlink>
      <w:r>
        <w:rPr>
          <w:sz w:val="26"/>
          <w:szCs w:val="26"/>
        </w:rPr>
        <w:t> на последний момент, т.к. в случае ошибок у вас не будет времени на их устранение.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того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чтобы принять участие в работе конференции необходима обязательная регистрация на сайте. </w:t>
      </w:r>
      <w:proofErr w:type="gramStart"/>
      <w:r>
        <w:rPr>
          <w:sz w:val="26"/>
          <w:szCs w:val="26"/>
        </w:rPr>
        <w:t>Заявки</w:t>
      </w:r>
      <w:proofErr w:type="gramEnd"/>
      <w:r>
        <w:rPr>
          <w:sz w:val="26"/>
          <w:szCs w:val="26"/>
        </w:rPr>
        <w:t xml:space="preserve"> поданные иными способами рассматриваться не будут.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Заполняя поля формы, старайтесь использовать предлагаемые данные в выпадающих списках. Особенно в части выбора организации, статуса и т.п.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Одна работа (тезисы доклада) подаётся на участие в конференции один раз одним из авторов, который и будет являться контактным лицом. Соавторы работы указываются в соответствующей графе.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Один человек может быть включён в программу научных секций в качестве контактного автора один раз. Также он может быть соавтором ещё двух работ, поданных на участие в конференции.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Подача заявки на участие в конференции является согласием на хранение и обработку персональных данных, публикацию тезисов в сборнике трудов и на сайте конференции.</w:t>
      </w:r>
    </w:p>
    <w:p w:rsidR="006D19BB" w:rsidRDefault="006D19BB" w:rsidP="006D19BB">
      <w:pPr>
        <w:jc w:val="center"/>
        <w:rPr>
          <w:b/>
          <w:sz w:val="16"/>
          <w:szCs w:val="26"/>
        </w:rPr>
      </w:pPr>
    </w:p>
    <w:p w:rsidR="006D19BB" w:rsidRDefault="006D19BB" w:rsidP="006D19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подачи заявки</w:t>
      </w:r>
    </w:p>
    <w:p w:rsidR="006D19BB" w:rsidRDefault="006D19BB" w:rsidP="006D19BB">
      <w:pPr>
        <w:pStyle w:val="a9"/>
        <w:widowControl w:val="0"/>
        <w:numPr>
          <w:ilvl w:val="1"/>
          <w:numId w:val="7"/>
        </w:numPr>
        <w:tabs>
          <w:tab w:val="left" w:pos="1276"/>
        </w:tabs>
        <w:suppressAutoHyphens/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подачи тезисов необходимо иметь </w:t>
      </w:r>
      <w:proofErr w:type="spellStart"/>
      <w:r>
        <w:rPr>
          <w:sz w:val="26"/>
          <w:szCs w:val="26"/>
        </w:rPr>
        <w:t>аккаунт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полученный</w:t>
      </w:r>
      <w:proofErr w:type="gramEnd"/>
      <w:r>
        <w:rPr>
          <w:sz w:val="26"/>
          <w:szCs w:val="26"/>
        </w:rPr>
        <w:t xml:space="preserve"> на </w:t>
      </w:r>
      <w:hyperlink r:id="rId10" w:history="1">
        <w:r>
          <w:rPr>
            <w:rStyle w:val="a6"/>
            <w:sz w:val="26"/>
            <w:szCs w:val="26"/>
          </w:rPr>
          <w:t>сайте МАИ</w:t>
        </w:r>
      </w:hyperlink>
      <w:r>
        <w:rPr>
          <w:sz w:val="26"/>
          <w:szCs w:val="26"/>
        </w:rPr>
        <w:t>.</w:t>
      </w:r>
    </w:p>
    <w:p w:rsidR="006D19BB" w:rsidRDefault="006D19BB" w:rsidP="006D19BB">
      <w:pPr>
        <w:pStyle w:val="a9"/>
        <w:widowControl w:val="0"/>
        <w:numPr>
          <w:ilvl w:val="1"/>
          <w:numId w:val="7"/>
        </w:numPr>
        <w:tabs>
          <w:tab w:val="left" w:pos="1276"/>
        </w:tabs>
        <w:suppressAutoHyphens/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Нажмите кнопку «Войти через МАИ» на этом сайте. Если Вы уже авторизованы на сайте МАИ, Вам будет предложено зарегистрироваться на проекте </w:t>
      </w:r>
      <w:proofErr w:type="spellStart"/>
      <w:r>
        <w:rPr>
          <w:sz w:val="26"/>
          <w:szCs w:val="26"/>
        </w:rPr>
        <w:t>ConfID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Аккаунтом</w:t>
      </w:r>
      <w:proofErr w:type="spellEnd"/>
      <w:r>
        <w:rPr>
          <w:sz w:val="26"/>
          <w:szCs w:val="26"/>
        </w:rPr>
        <w:t xml:space="preserve">, полученным на </w:t>
      </w:r>
      <w:proofErr w:type="spellStart"/>
      <w:r>
        <w:rPr>
          <w:sz w:val="26"/>
          <w:szCs w:val="26"/>
        </w:rPr>
        <w:t>ConfID</w:t>
      </w:r>
      <w:proofErr w:type="spellEnd"/>
      <w:r>
        <w:rPr>
          <w:sz w:val="26"/>
          <w:szCs w:val="26"/>
        </w:rPr>
        <w:t>, можно будет пользоваться при регистрации и на других конференциях.</w:t>
      </w:r>
    </w:p>
    <w:p w:rsidR="006D19BB" w:rsidRDefault="006D19BB" w:rsidP="006D19BB">
      <w:pPr>
        <w:pStyle w:val="a9"/>
        <w:widowControl w:val="0"/>
        <w:numPr>
          <w:ilvl w:val="1"/>
          <w:numId w:val="7"/>
        </w:numPr>
        <w:tabs>
          <w:tab w:val="left" w:pos="1276"/>
        </w:tabs>
        <w:suppressAutoHyphens/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успешной регистрации необходимо дважды подтвердить адрес электронной почты (от МАИ и от </w:t>
      </w:r>
      <w:proofErr w:type="spellStart"/>
      <w:r>
        <w:rPr>
          <w:sz w:val="26"/>
          <w:szCs w:val="26"/>
        </w:rPr>
        <w:t>ConfID</w:t>
      </w:r>
      <w:proofErr w:type="spellEnd"/>
      <w:r>
        <w:rPr>
          <w:sz w:val="26"/>
          <w:szCs w:val="26"/>
        </w:rPr>
        <w:t>).</w:t>
      </w:r>
    </w:p>
    <w:p w:rsidR="006D19BB" w:rsidRDefault="006D19BB" w:rsidP="006D19BB">
      <w:pPr>
        <w:pStyle w:val="a9"/>
        <w:widowControl w:val="0"/>
        <w:numPr>
          <w:ilvl w:val="1"/>
          <w:numId w:val="7"/>
        </w:numPr>
        <w:tabs>
          <w:tab w:val="left" w:pos="1276"/>
        </w:tabs>
        <w:suppressAutoHyphens/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После регистрации будет доступен личный кабинет. Нажмите на кнопку «</w:t>
      </w:r>
      <w:hyperlink r:id="rId11" w:history="1">
        <w:r>
          <w:rPr>
            <w:rStyle w:val="a6"/>
            <w:sz w:val="26"/>
            <w:szCs w:val="26"/>
          </w:rPr>
          <w:t>Подать заявку</w:t>
        </w:r>
      </w:hyperlink>
      <w:r>
        <w:rPr>
          <w:sz w:val="26"/>
          <w:szCs w:val="26"/>
        </w:rPr>
        <w:t>», выберите из списка секцию, подходящую по тематике, затем заполните необходимые поля. При заполнении полей просим учесть следующие особенности:</w:t>
      </w:r>
    </w:p>
    <w:p w:rsidR="006D19BB" w:rsidRDefault="006D19BB" w:rsidP="006D19BB">
      <w:pPr>
        <w:pStyle w:val="a9"/>
        <w:widowControl w:val="0"/>
        <w:numPr>
          <w:ilvl w:val="1"/>
          <w:numId w:val="7"/>
        </w:numPr>
        <w:tabs>
          <w:tab w:val="left" w:pos="1276"/>
        </w:tabs>
        <w:suppressAutoHyphens/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стоит заполнять тему работы полностью CAPS </w:t>
      </w:r>
      <w:proofErr w:type="spellStart"/>
      <w:r>
        <w:rPr>
          <w:sz w:val="26"/>
          <w:szCs w:val="26"/>
        </w:rPr>
        <w:t>LOCK'ом</w:t>
      </w:r>
      <w:proofErr w:type="spellEnd"/>
    </w:p>
    <w:p w:rsidR="006D19BB" w:rsidRDefault="006D19BB" w:rsidP="006D19BB">
      <w:pPr>
        <w:pStyle w:val="a9"/>
        <w:widowControl w:val="0"/>
        <w:numPr>
          <w:ilvl w:val="1"/>
          <w:numId w:val="8"/>
        </w:numPr>
        <w:tabs>
          <w:tab w:val="left" w:pos="1276"/>
        </w:tabs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Текст тезисов необходимо вставить в отдельное поле. Сложные формулы, таблицы и рисунки не допускаются. Объём — 1500-5000 символов. Отдельным файлом тезисы не оформляются.</w:t>
      </w:r>
    </w:p>
    <w:p w:rsidR="006D19BB" w:rsidRDefault="006D19BB" w:rsidP="006D19BB">
      <w:pPr>
        <w:pStyle w:val="a9"/>
        <w:widowControl w:val="0"/>
        <w:numPr>
          <w:ilvl w:val="1"/>
          <w:numId w:val="8"/>
        </w:numPr>
        <w:tabs>
          <w:tab w:val="left" w:pos="1276"/>
        </w:tabs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Список литературы вставляется в конце поля текста тезисов. Библиографические ссылки оформляются по </w:t>
      </w:r>
      <w:hyperlink r:id="rId12" w:tgtFrame="_blank" w:history="1">
        <w:r>
          <w:rPr>
            <w:rStyle w:val="a6"/>
            <w:sz w:val="26"/>
            <w:szCs w:val="26"/>
          </w:rPr>
          <w:t xml:space="preserve">ГОСТ </w:t>
        </w:r>
        <w:proofErr w:type="gramStart"/>
        <w:r>
          <w:rPr>
            <w:rStyle w:val="a6"/>
            <w:sz w:val="26"/>
            <w:szCs w:val="26"/>
          </w:rPr>
          <w:t>Р</w:t>
        </w:r>
        <w:proofErr w:type="gramEnd"/>
        <w:r>
          <w:rPr>
            <w:rStyle w:val="a6"/>
            <w:sz w:val="26"/>
            <w:szCs w:val="26"/>
          </w:rPr>
          <w:t xml:space="preserve"> 7.0.5-2008</w:t>
        </w:r>
      </w:hyperlink>
      <w:r>
        <w:rPr>
          <w:sz w:val="26"/>
          <w:szCs w:val="26"/>
        </w:rPr>
        <w:t>.</w:t>
      </w:r>
    </w:p>
    <w:p w:rsidR="006D19BB" w:rsidRDefault="006D19BB" w:rsidP="006D19BB">
      <w:pPr>
        <w:pStyle w:val="a9"/>
        <w:widowControl w:val="0"/>
        <w:numPr>
          <w:ilvl w:val="1"/>
          <w:numId w:val="8"/>
        </w:numPr>
        <w:tabs>
          <w:tab w:val="left" w:pos="1276"/>
        </w:tabs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может быть только один.</w:t>
      </w:r>
    </w:p>
    <w:p w:rsidR="006D19BB" w:rsidRDefault="006D19BB" w:rsidP="006D19BB">
      <w:pPr>
        <w:pStyle w:val="a9"/>
        <w:widowControl w:val="0"/>
        <w:numPr>
          <w:ilvl w:val="1"/>
          <w:numId w:val="8"/>
        </w:numPr>
        <w:tabs>
          <w:tab w:val="left" w:pos="1276"/>
        </w:tabs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Допустимо указать до двух соавторов.</w:t>
      </w:r>
    </w:p>
    <w:p w:rsidR="006D19BB" w:rsidRDefault="006D19BB" w:rsidP="006D19BB">
      <w:pPr>
        <w:pStyle w:val="a9"/>
        <w:widowControl w:val="0"/>
        <w:numPr>
          <w:ilvl w:val="1"/>
          <w:numId w:val="7"/>
        </w:numPr>
        <w:tabs>
          <w:tab w:val="left" w:pos="1276"/>
        </w:tabs>
        <w:suppressAutoHyphens/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Поданной заявке автоматически присваивается статус «На рассмотрении». При одобрении заявки или любом другом изменении статуса будет отправлено автоматическое </w:t>
      </w:r>
      <w:r>
        <w:rPr>
          <w:sz w:val="26"/>
          <w:szCs w:val="26"/>
        </w:rPr>
        <w:lastRenderedPageBreak/>
        <w:t>письмо на указанный при регистрации электронный адрес с комментариями секретаря секции или оргкомитета.</w:t>
      </w:r>
    </w:p>
    <w:p w:rsidR="006D19BB" w:rsidRDefault="006D19BB" w:rsidP="006D19BB">
      <w:pPr>
        <w:pStyle w:val="a9"/>
        <w:widowControl w:val="0"/>
        <w:numPr>
          <w:ilvl w:val="1"/>
          <w:numId w:val="7"/>
        </w:numPr>
        <w:tabs>
          <w:tab w:val="left" w:pos="1276"/>
        </w:tabs>
        <w:suppressAutoHyphens/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Вам не пришло письмо, о том, что Ваша заявка находится «на рассмотрении» необходимо повторно заполнить и подать заявку.</w:t>
      </w:r>
    </w:p>
    <w:p w:rsidR="006D19BB" w:rsidRDefault="006D19BB" w:rsidP="006D19BB">
      <w:pPr>
        <w:jc w:val="center"/>
        <w:rPr>
          <w:sz w:val="16"/>
          <w:szCs w:val="26"/>
        </w:rPr>
      </w:pPr>
    </w:p>
    <w:p w:rsidR="006D19BB" w:rsidRDefault="006D19BB" w:rsidP="006D19B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 оформления тезисов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Сборник тезисов будет доступен в электронной версии на сайте </w:t>
      </w:r>
      <w:hyperlink r:id="rId13" w:history="1">
        <w:r>
          <w:rPr>
            <w:rStyle w:val="a6"/>
            <w:color w:val="01698C"/>
            <w:sz w:val="26"/>
            <w:szCs w:val="26"/>
            <w:lang w:val="en-US"/>
          </w:rPr>
          <w:t>www</w:t>
        </w:r>
        <w:r>
          <w:rPr>
            <w:rStyle w:val="a6"/>
            <w:color w:val="01698C"/>
            <w:sz w:val="26"/>
            <w:szCs w:val="26"/>
          </w:rPr>
          <w:t>.</w:t>
        </w:r>
        <w:proofErr w:type="spellStart"/>
        <w:r>
          <w:rPr>
            <w:rStyle w:val="a6"/>
            <w:color w:val="01698C"/>
            <w:sz w:val="26"/>
            <w:szCs w:val="26"/>
          </w:rPr>
          <w:t>gagarin.mai.ru</w:t>
        </w:r>
        <w:proofErr w:type="spellEnd"/>
      </w:hyperlink>
      <w:r>
        <w:rPr>
          <w:sz w:val="26"/>
          <w:szCs w:val="26"/>
        </w:rPr>
        <w:t> (со всеми выходными данными) в формате *.</w:t>
      </w:r>
      <w:proofErr w:type="spellStart"/>
      <w:r>
        <w:rPr>
          <w:sz w:val="26"/>
          <w:szCs w:val="26"/>
        </w:rPr>
        <w:t>pdf</w:t>
      </w:r>
      <w:proofErr w:type="spellEnd"/>
      <w:r>
        <w:rPr>
          <w:sz w:val="26"/>
          <w:szCs w:val="26"/>
        </w:rPr>
        <w:t>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заявки текст тезисов вносится в соответствующее поле формы и не должен содержать формулы, таблицы, рисунки. Объём — 1500-5000 символов. Отдельным файлом тезисы не оформляются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внимание, что приём заявок ведётся с помощью электронного документооборота, в связи с чем, просим соблюдать все приведенные выше требования.</w:t>
      </w:r>
    </w:p>
    <w:p w:rsidR="006D19BB" w:rsidRDefault="006D19BB" w:rsidP="006D19BB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Заявки, включающие материалы, не соответствующие приведённым выше требованиям по оформлению и тематике конференции, </w:t>
      </w:r>
      <w:r>
        <w:rPr>
          <w:bCs/>
          <w:sz w:val="26"/>
          <w:szCs w:val="26"/>
        </w:rPr>
        <w:t>отклоняются.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Сборник трудов конференции будет сформирован из тезисов участников, выступивших на конференции с докладом.</w:t>
      </w:r>
    </w:p>
    <w:p w:rsidR="006D19BB" w:rsidRDefault="006D19BB" w:rsidP="006D19BB">
      <w:pPr>
        <w:jc w:val="center"/>
        <w:rPr>
          <w:sz w:val="16"/>
          <w:szCs w:val="26"/>
        </w:rPr>
      </w:pPr>
    </w:p>
    <w:p w:rsidR="006D19BB" w:rsidRDefault="006D19BB" w:rsidP="006D19B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Экспертное заключение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Экспертное заключение, разрешающее публикацию ваших тезисов, оформляется по стандартной форме вашей организации и подписывается уполномоченными лицами. На экспертном заключении должна стоять печать организации.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Экспертное заключение должно быть оформлено индивидуально и прикреплено к заявке ДО окончания срока приема заявок.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Экспертное заключение должно быть подготовлено индивидуально каждым контактным автором (тем человеком, который подает заявку). Соавторам повторно делать ЭЗ не нужно.</w:t>
      </w:r>
    </w:p>
    <w:p w:rsidR="006D19BB" w:rsidRDefault="006D19BB" w:rsidP="006D19BB">
      <w:pPr>
        <w:jc w:val="center"/>
        <w:rPr>
          <w:sz w:val="16"/>
          <w:szCs w:val="26"/>
        </w:rPr>
      </w:pPr>
    </w:p>
    <w:p w:rsidR="006D19BB" w:rsidRDefault="006D19BB" w:rsidP="006D19B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Презентация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очном участии необходима презентация, иллюстрирующая доклад. В ней вы можете представить таблицы, графики, формулы, рисунки и т.п. Также можно представить наглядные экспонаты.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правило, презентации оформляются в </w:t>
      </w:r>
      <w:proofErr w:type="spellStart"/>
      <w:r>
        <w:rPr>
          <w:sz w:val="26"/>
          <w:szCs w:val="26"/>
          <w:u w:val="single"/>
        </w:rPr>
        <w:t>Microsoft</w:t>
      </w:r>
      <w:proofErr w:type="spellEnd"/>
      <w:r w:rsidR="009502AC"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Power</w:t>
      </w:r>
      <w:proofErr w:type="spellEnd"/>
      <w:r w:rsidR="009502AC"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Point</w:t>
      </w:r>
      <w:proofErr w:type="spellEnd"/>
      <w:r>
        <w:rPr>
          <w:sz w:val="26"/>
          <w:szCs w:val="26"/>
          <w:u w:val="single"/>
        </w:rPr>
        <w:t>.</w:t>
      </w:r>
    </w:p>
    <w:p w:rsidR="006D19BB" w:rsidRDefault="006D19BB" w:rsidP="006D19BB">
      <w:pPr>
        <w:jc w:val="center"/>
        <w:rPr>
          <w:sz w:val="16"/>
          <w:szCs w:val="26"/>
        </w:rPr>
      </w:pPr>
    </w:p>
    <w:p w:rsidR="006D19BB" w:rsidRDefault="006D19BB" w:rsidP="006D19B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Доклад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секции будут оборудованы </w:t>
      </w:r>
      <w:proofErr w:type="spellStart"/>
      <w:r>
        <w:rPr>
          <w:sz w:val="26"/>
          <w:szCs w:val="26"/>
        </w:rPr>
        <w:t>мультимедийными</w:t>
      </w:r>
      <w:proofErr w:type="spellEnd"/>
      <w:r>
        <w:rPr>
          <w:sz w:val="26"/>
          <w:szCs w:val="26"/>
        </w:rPr>
        <w:t xml:space="preserve"> средствами просмотра презентаций. Длительность выступления - </w:t>
      </w:r>
      <w:r>
        <w:rPr>
          <w:bCs/>
          <w:sz w:val="26"/>
          <w:szCs w:val="26"/>
        </w:rPr>
        <w:t>не более 7 минут.</w:t>
      </w:r>
    </w:p>
    <w:p w:rsidR="006D19BB" w:rsidRDefault="006D19BB" w:rsidP="006D19BB">
      <w:pPr>
        <w:jc w:val="center"/>
        <w:rPr>
          <w:sz w:val="16"/>
          <w:szCs w:val="26"/>
        </w:rPr>
      </w:pP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материалы будут </w:t>
      </w:r>
      <w:r>
        <w:rPr>
          <w:bCs/>
          <w:sz w:val="26"/>
          <w:szCs w:val="26"/>
        </w:rPr>
        <w:t>проверены на плагиат</w:t>
      </w:r>
      <w:r w:rsidR="009502AC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(система </w:t>
      </w:r>
      <w:proofErr w:type="spellStart"/>
      <w:r>
        <w:rPr>
          <w:sz w:val="26"/>
          <w:szCs w:val="26"/>
        </w:rPr>
        <w:t>RuContext</w:t>
      </w:r>
      <w:proofErr w:type="spellEnd"/>
      <w:r>
        <w:rPr>
          <w:sz w:val="26"/>
          <w:szCs w:val="26"/>
        </w:rPr>
        <w:t xml:space="preserve">). Оригинальность должна составлять не менее 80%. Тезисы, не соответствующие этому требованию, будут отправляться на доработку или отклонены. К публикации </w:t>
      </w:r>
      <w:r>
        <w:rPr>
          <w:bCs/>
          <w:sz w:val="26"/>
          <w:szCs w:val="26"/>
        </w:rPr>
        <w:t>не принимаются</w:t>
      </w:r>
      <w:r>
        <w:rPr>
          <w:sz w:val="26"/>
          <w:szCs w:val="26"/>
        </w:rPr>
        <w:t xml:space="preserve"> материалы, не соответствующие тематике конференции или правилам оформления, а также представленные с нарушением установленного порядка. Тезисы без заявок не рассматриваются. Оргкомитет информирует контактных авторов о получении тезисов по электронной почте, указанной в заявке. 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конференции может быть контактным автором только одного доклада и соавтором не более двух других докладов. 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человек не может быть одновременно научным руководителем и автором одной работы. </w:t>
      </w:r>
    </w:p>
    <w:p w:rsidR="006D19BB" w:rsidRDefault="006D19BB" w:rsidP="006D1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всем вопросам участия в конференции просим обращаться в Оргкомитет:</w:t>
      </w:r>
    </w:p>
    <w:p w:rsidR="006D19BB" w:rsidRDefault="0083130E" w:rsidP="006D19BB">
      <w:pPr>
        <w:ind w:firstLine="720"/>
        <w:jc w:val="both"/>
        <w:rPr>
          <w:sz w:val="26"/>
          <w:szCs w:val="26"/>
        </w:rPr>
      </w:pPr>
      <w:hyperlink r:id="rId14" w:history="1">
        <w:r w:rsidR="009502AC" w:rsidRPr="00A44EBA">
          <w:rPr>
            <w:rStyle w:val="a6"/>
            <w:rFonts w:ascii="Liberation Serif" w:hAnsi="Liberation Serif"/>
            <w:sz w:val="26"/>
            <w:szCs w:val="26"/>
          </w:rPr>
          <w:t>voshod.pk@mail.ru</w:t>
        </w:r>
      </w:hyperlink>
      <w:r w:rsidR="009502A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6D19BB">
        <w:rPr>
          <w:color w:val="000000"/>
          <w:sz w:val="26"/>
          <w:szCs w:val="26"/>
        </w:rPr>
        <w:t>тел. +7 776 8621098</w:t>
      </w:r>
    </w:p>
    <w:p w:rsidR="006D19BB" w:rsidRDefault="006D19BB" w:rsidP="006D19BB">
      <w:pPr>
        <w:jc w:val="center"/>
        <w:rPr>
          <w:sz w:val="16"/>
          <w:szCs w:val="26"/>
        </w:rPr>
      </w:pPr>
    </w:p>
    <w:p w:rsidR="006D19BB" w:rsidRDefault="006D19BB" w:rsidP="006D19BB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Приём заявок завершится 03 марта. </w:t>
      </w:r>
    </w:p>
    <w:p w:rsidR="006D19BB" w:rsidRDefault="006D19BB" w:rsidP="006D19BB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Предварительные заседания секций 25-26 марта.</w:t>
      </w:r>
    </w:p>
    <w:p w:rsidR="006D19BB" w:rsidRDefault="006D19BB" w:rsidP="006D19BB">
      <w:pPr>
        <w:jc w:val="center"/>
        <w:rPr>
          <w:sz w:val="16"/>
          <w:szCs w:val="26"/>
        </w:rPr>
      </w:pPr>
    </w:p>
    <w:p w:rsidR="006D19BB" w:rsidRDefault="006D19BB" w:rsidP="006D19BB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Информационное сообщение о </w:t>
      </w:r>
      <w:r>
        <w:rPr>
          <w:color w:val="000000"/>
          <w:sz w:val="26"/>
          <w:szCs w:val="26"/>
          <w:lang w:val="en-US"/>
        </w:rPr>
        <w:t>XLIX</w:t>
      </w:r>
      <w:r>
        <w:rPr>
          <w:color w:val="000000"/>
          <w:sz w:val="26"/>
          <w:szCs w:val="26"/>
        </w:rPr>
        <w:t xml:space="preserve"> Международной молодёжной научной конференции «</w:t>
      </w:r>
      <w:proofErr w:type="spellStart"/>
      <w:r>
        <w:rPr>
          <w:color w:val="000000"/>
          <w:sz w:val="26"/>
          <w:szCs w:val="26"/>
        </w:rPr>
        <w:t>Гагаринские</w:t>
      </w:r>
      <w:proofErr w:type="spellEnd"/>
      <w:r>
        <w:rPr>
          <w:color w:val="000000"/>
          <w:sz w:val="26"/>
          <w:szCs w:val="26"/>
        </w:rPr>
        <w:t xml:space="preserve"> чтения» размещено на сайте </w:t>
      </w:r>
      <w:hyperlink r:id="rId15" w:history="1">
        <w:r>
          <w:rPr>
            <w:rStyle w:val="a6"/>
            <w:b/>
            <w:color w:val="01698C"/>
            <w:sz w:val="26"/>
            <w:szCs w:val="26"/>
            <w:lang w:val="en-US"/>
          </w:rPr>
          <w:t>www</w:t>
        </w:r>
        <w:r>
          <w:rPr>
            <w:rStyle w:val="a6"/>
            <w:b/>
            <w:color w:val="01698C"/>
            <w:sz w:val="26"/>
            <w:szCs w:val="26"/>
          </w:rPr>
          <w:t>.gagarin.mai.ru</w:t>
        </w:r>
      </w:hyperlink>
      <w:r>
        <w:rPr>
          <w:color w:val="000000"/>
          <w:sz w:val="26"/>
          <w:szCs w:val="26"/>
        </w:rPr>
        <w:t xml:space="preserve">, а также на странице филиала </w:t>
      </w:r>
      <w:r>
        <w:rPr>
          <w:b/>
          <w:color w:val="000000"/>
          <w:sz w:val="26"/>
          <w:szCs w:val="26"/>
        </w:rPr>
        <w:t>https://voshod.mai.ru/news.</w:t>
      </w:r>
    </w:p>
    <w:p w:rsidR="00676475" w:rsidRPr="006D19BB" w:rsidRDefault="00676475" w:rsidP="00676475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676475" w:rsidRPr="006D19BB" w:rsidSect="00255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68D"/>
    <w:multiLevelType w:val="multilevel"/>
    <w:tmpl w:val="9F84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800C6"/>
    <w:multiLevelType w:val="multilevel"/>
    <w:tmpl w:val="9F8E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D1E82"/>
    <w:multiLevelType w:val="hybridMultilevel"/>
    <w:tmpl w:val="40BA81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972BB"/>
    <w:multiLevelType w:val="hybridMultilevel"/>
    <w:tmpl w:val="9314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72630"/>
    <w:multiLevelType w:val="hybridMultilevel"/>
    <w:tmpl w:val="E66AF2B2"/>
    <w:lvl w:ilvl="0" w:tplc="E6804956">
      <w:start w:val="1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BA06003"/>
    <w:multiLevelType w:val="multilevel"/>
    <w:tmpl w:val="264E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40500"/>
    <w:multiLevelType w:val="hybridMultilevel"/>
    <w:tmpl w:val="99B8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86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07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A3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66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B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44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66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26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02112"/>
    <w:multiLevelType w:val="hybridMultilevel"/>
    <w:tmpl w:val="02FE2E7E"/>
    <w:lvl w:ilvl="0" w:tplc="43D24BFA">
      <w:start w:val="11"/>
      <w:numFmt w:val="bullet"/>
      <w:lvlText w:val=""/>
      <w:lvlJc w:val="left"/>
      <w:pPr>
        <w:ind w:left="17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B55"/>
    <w:rsid w:val="00007C43"/>
    <w:rsid w:val="0001769B"/>
    <w:rsid w:val="00042379"/>
    <w:rsid w:val="00054FBD"/>
    <w:rsid w:val="00061EFA"/>
    <w:rsid w:val="00064303"/>
    <w:rsid w:val="0007392F"/>
    <w:rsid w:val="00090BF3"/>
    <w:rsid w:val="000A0D11"/>
    <w:rsid w:val="000A4225"/>
    <w:rsid w:val="000B7920"/>
    <w:rsid w:val="000C6F46"/>
    <w:rsid w:val="000D2F36"/>
    <w:rsid w:val="000E3EB6"/>
    <w:rsid w:val="000F122E"/>
    <w:rsid w:val="0010413F"/>
    <w:rsid w:val="001230AB"/>
    <w:rsid w:val="00126589"/>
    <w:rsid w:val="00133277"/>
    <w:rsid w:val="00145257"/>
    <w:rsid w:val="00150673"/>
    <w:rsid w:val="001531B9"/>
    <w:rsid w:val="00162836"/>
    <w:rsid w:val="001743A8"/>
    <w:rsid w:val="0017527C"/>
    <w:rsid w:val="001A4C01"/>
    <w:rsid w:val="001A6061"/>
    <w:rsid w:val="001B4C1F"/>
    <w:rsid w:val="001B525F"/>
    <w:rsid w:val="001C0F6D"/>
    <w:rsid w:val="001C1C2C"/>
    <w:rsid w:val="001C361E"/>
    <w:rsid w:val="001C50E9"/>
    <w:rsid w:val="001D1FC9"/>
    <w:rsid w:val="001D75F7"/>
    <w:rsid w:val="001F7323"/>
    <w:rsid w:val="00230668"/>
    <w:rsid w:val="002427C9"/>
    <w:rsid w:val="00243BE6"/>
    <w:rsid w:val="00247AEF"/>
    <w:rsid w:val="0025519D"/>
    <w:rsid w:val="00255B55"/>
    <w:rsid w:val="0025640E"/>
    <w:rsid w:val="0025791D"/>
    <w:rsid w:val="002602C3"/>
    <w:rsid w:val="0026730A"/>
    <w:rsid w:val="00277050"/>
    <w:rsid w:val="002967D0"/>
    <w:rsid w:val="002977FA"/>
    <w:rsid w:val="002A3DC5"/>
    <w:rsid w:val="002B5BB7"/>
    <w:rsid w:val="002C1EC8"/>
    <w:rsid w:val="002C2BAA"/>
    <w:rsid w:val="002D0372"/>
    <w:rsid w:val="002D04CE"/>
    <w:rsid w:val="002D10CD"/>
    <w:rsid w:val="002D7EFB"/>
    <w:rsid w:val="002E0008"/>
    <w:rsid w:val="002E1C3D"/>
    <w:rsid w:val="002E6941"/>
    <w:rsid w:val="002F2559"/>
    <w:rsid w:val="002F5C7B"/>
    <w:rsid w:val="002F6DF2"/>
    <w:rsid w:val="00302F68"/>
    <w:rsid w:val="00307159"/>
    <w:rsid w:val="003123F6"/>
    <w:rsid w:val="00316D30"/>
    <w:rsid w:val="00321A83"/>
    <w:rsid w:val="00331D5B"/>
    <w:rsid w:val="00340F74"/>
    <w:rsid w:val="00343B62"/>
    <w:rsid w:val="0036407E"/>
    <w:rsid w:val="00373E66"/>
    <w:rsid w:val="003833A5"/>
    <w:rsid w:val="003845CD"/>
    <w:rsid w:val="003A2D40"/>
    <w:rsid w:val="003B27DD"/>
    <w:rsid w:val="003D751E"/>
    <w:rsid w:val="003E13E4"/>
    <w:rsid w:val="003E258E"/>
    <w:rsid w:val="003E33E6"/>
    <w:rsid w:val="003E5F53"/>
    <w:rsid w:val="003F393A"/>
    <w:rsid w:val="004037CC"/>
    <w:rsid w:val="00405A65"/>
    <w:rsid w:val="00406762"/>
    <w:rsid w:val="004216ED"/>
    <w:rsid w:val="00426079"/>
    <w:rsid w:val="004524BA"/>
    <w:rsid w:val="00457B2E"/>
    <w:rsid w:val="004624BF"/>
    <w:rsid w:val="0047307D"/>
    <w:rsid w:val="00475EFF"/>
    <w:rsid w:val="00486F34"/>
    <w:rsid w:val="00494EFA"/>
    <w:rsid w:val="00495548"/>
    <w:rsid w:val="004B036A"/>
    <w:rsid w:val="004B717C"/>
    <w:rsid w:val="004C09DD"/>
    <w:rsid w:val="004C32D2"/>
    <w:rsid w:val="004C393C"/>
    <w:rsid w:val="004C5A3A"/>
    <w:rsid w:val="004C68BA"/>
    <w:rsid w:val="004D572F"/>
    <w:rsid w:val="004F2224"/>
    <w:rsid w:val="00502DF2"/>
    <w:rsid w:val="005131D3"/>
    <w:rsid w:val="00515BC5"/>
    <w:rsid w:val="00515DB5"/>
    <w:rsid w:val="00532A5F"/>
    <w:rsid w:val="0053302C"/>
    <w:rsid w:val="00533CB7"/>
    <w:rsid w:val="00555054"/>
    <w:rsid w:val="00561D9C"/>
    <w:rsid w:val="00571510"/>
    <w:rsid w:val="00576A6F"/>
    <w:rsid w:val="00585458"/>
    <w:rsid w:val="005907AD"/>
    <w:rsid w:val="005A29E6"/>
    <w:rsid w:val="005A2A04"/>
    <w:rsid w:val="005A5F77"/>
    <w:rsid w:val="005A6C18"/>
    <w:rsid w:val="005B28C6"/>
    <w:rsid w:val="005C33D2"/>
    <w:rsid w:val="005C7098"/>
    <w:rsid w:val="005D57C6"/>
    <w:rsid w:val="00616F45"/>
    <w:rsid w:val="00625426"/>
    <w:rsid w:val="006270A4"/>
    <w:rsid w:val="00633020"/>
    <w:rsid w:val="00654A32"/>
    <w:rsid w:val="006552FA"/>
    <w:rsid w:val="00670EA2"/>
    <w:rsid w:val="00676475"/>
    <w:rsid w:val="0068192D"/>
    <w:rsid w:val="006822B3"/>
    <w:rsid w:val="006839F6"/>
    <w:rsid w:val="006938D0"/>
    <w:rsid w:val="00693A3B"/>
    <w:rsid w:val="006A3A1D"/>
    <w:rsid w:val="006A6C26"/>
    <w:rsid w:val="006A7490"/>
    <w:rsid w:val="006C5CA3"/>
    <w:rsid w:val="006C6EE1"/>
    <w:rsid w:val="006D19BB"/>
    <w:rsid w:val="006D7DB2"/>
    <w:rsid w:val="006E3BFF"/>
    <w:rsid w:val="006E50E1"/>
    <w:rsid w:val="006F04F8"/>
    <w:rsid w:val="006F41D3"/>
    <w:rsid w:val="006F54EB"/>
    <w:rsid w:val="006F7C88"/>
    <w:rsid w:val="0070082C"/>
    <w:rsid w:val="0071590A"/>
    <w:rsid w:val="00726276"/>
    <w:rsid w:val="00727755"/>
    <w:rsid w:val="00734E8B"/>
    <w:rsid w:val="0074069A"/>
    <w:rsid w:val="007424FD"/>
    <w:rsid w:val="00771703"/>
    <w:rsid w:val="00791100"/>
    <w:rsid w:val="007A2743"/>
    <w:rsid w:val="007A3877"/>
    <w:rsid w:val="007B7975"/>
    <w:rsid w:val="007C2E3B"/>
    <w:rsid w:val="007C4791"/>
    <w:rsid w:val="007C6DFA"/>
    <w:rsid w:val="007D1C4D"/>
    <w:rsid w:val="007D6BB2"/>
    <w:rsid w:val="007D75E8"/>
    <w:rsid w:val="007D7C49"/>
    <w:rsid w:val="007E3D9D"/>
    <w:rsid w:val="00801ACE"/>
    <w:rsid w:val="008259E5"/>
    <w:rsid w:val="0083130E"/>
    <w:rsid w:val="00831579"/>
    <w:rsid w:val="0083443C"/>
    <w:rsid w:val="0084621D"/>
    <w:rsid w:val="008538CB"/>
    <w:rsid w:val="00860053"/>
    <w:rsid w:val="00871657"/>
    <w:rsid w:val="008724A0"/>
    <w:rsid w:val="00873819"/>
    <w:rsid w:val="00884C0A"/>
    <w:rsid w:val="008A0874"/>
    <w:rsid w:val="008A1CD9"/>
    <w:rsid w:val="008A35F1"/>
    <w:rsid w:val="008A5396"/>
    <w:rsid w:val="008D0FB6"/>
    <w:rsid w:val="008D1AF3"/>
    <w:rsid w:val="008E4BC0"/>
    <w:rsid w:val="008F5DCF"/>
    <w:rsid w:val="008F611B"/>
    <w:rsid w:val="00903F81"/>
    <w:rsid w:val="00906313"/>
    <w:rsid w:val="00906809"/>
    <w:rsid w:val="0091251C"/>
    <w:rsid w:val="0092085A"/>
    <w:rsid w:val="00921148"/>
    <w:rsid w:val="00923384"/>
    <w:rsid w:val="009502AC"/>
    <w:rsid w:val="00953E00"/>
    <w:rsid w:val="00957E54"/>
    <w:rsid w:val="0097032F"/>
    <w:rsid w:val="00976B45"/>
    <w:rsid w:val="0099091C"/>
    <w:rsid w:val="00992870"/>
    <w:rsid w:val="00993F86"/>
    <w:rsid w:val="00996B7E"/>
    <w:rsid w:val="009A2DDD"/>
    <w:rsid w:val="009B42B0"/>
    <w:rsid w:val="009C35EA"/>
    <w:rsid w:val="009E1433"/>
    <w:rsid w:val="009F7ADD"/>
    <w:rsid w:val="00A058AC"/>
    <w:rsid w:val="00A10FDA"/>
    <w:rsid w:val="00A129AD"/>
    <w:rsid w:val="00A2064C"/>
    <w:rsid w:val="00A262F0"/>
    <w:rsid w:val="00A4477B"/>
    <w:rsid w:val="00A50606"/>
    <w:rsid w:val="00A55730"/>
    <w:rsid w:val="00A707D5"/>
    <w:rsid w:val="00A761E2"/>
    <w:rsid w:val="00A7629A"/>
    <w:rsid w:val="00A83428"/>
    <w:rsid w:val="00A838ED"/>
    <w:rsid w:val="00A902C1"/>
    <w:rsid w:val="00A90455"/>
    <w:rsid w:val="00AA1260"/>
    <w:rsid w:val="00AC03C7"/>
    <w:rsid w:val="00AD2A58"/>
    <w:rsid w:val="00AD37AC"/>
    <w:rsid w:val="00AE07AB"/>
    <w:rsid w:val="00AE4901"/>
    <w:rsid w:val="00AE642C"/>
    <w:rsid w:val="00AF6392"/>
    <w:rsid w:val="00B01B9A"/>
    <w:rsid w:val="00B01C48"/>
    <w:rsid w:val="00B05D20"/>
    <w:rsid w:val="00B07C10"/>
    <w:rsid w:val="00B14013"/>
    <w:rsid w:val="00B1429B"/>
    <w:rsid w:val="00B17F56"/>
    <w:rsid w:val="00B323CB"/>
    <w:rsid w:val="00B57822"/>
    <w:rsid w:val="00B60700"/>
    <w:rsid w:val="00B61718"/>
    <w:rsid w:val="00B64AAE"/>
    <w:rsid w:val="00B64FB7"/>
    <w:rsid w:val="00B65067"/>
    <w:rsid w:val="00B66634"/>
    <w:rsid w:val="00B6689B"/>
    <w:rsid w:val="00B66DB5"/>
    <w:rsid w:val="00B67105"/>
    <w:rsid w:val="00B820AB"/>
    <w:rsid w:val="00B83C10"/>
    <w:rsid w:val="00B8493A"/>
    <w:rsid w:val="00B8728C"/>
    <w:rsid w:val="00BC6EEF"/>
    <w:rsid w:val="00BF69AA"/>
    <w:rsid w:val="00C00194"/>
    <w:rsid w:val="00C029C0"/>
    <w:rsid w:val="00C23F0F"/>
    <w:rsid w:val="00C33601"/>
    <w:rsid w:val="00C4033F"/>
    <w:rsid w:val="00C40657"/>
    <w:rsid w:val="00C66FFA"/>
    <w:rsid w:val="00C710EB"/>
    <w:rsid w:val="00C72287"/>
    <w:rsid w:val="00C74842"/>
    <w:rsid w:val="00C76EC2"/>
    <w:rsid w:val="00C811BD"/>
    <w:rsid w:val="00C81699"/>
    <w:rsid w:val="00C867E8"/>
    <w:rsid w:val="00C86971"/>
    <w:rsid w:val="00C8697E"/>
    <w:rsid w:val="00C903BB"/>
    <w:rsid w:val="00C936E9"/>
    <w:rsid w:val="00C93C48"/>
    <w:rsid w:val="00CA3EF7"/>
    <w:rsid w:val="00CB2173"/>
    <w:rsid w:val="00CB4650"/>
    <w:rsid w:val="00CB7F2A"/>
    <w:rsid w:val="00CC2416"/>
    <w:rsid w:val="00CC646B"/>
    <w:rsid w:val="00CE286C"/>
    <w:rsid w:val="00CE32AF"/>
    <w:rsid w:val="00CE4B62"/>
    <w:rsid w:val="00CF303E"/>
    <w:rsid w:val="00D1198E"/>
    <w:rsid w:val="00D141D8"/>
    <w:rsid w:val="00D143FA"/>
    <w:rsid w:val="00D22CE0"/>
    <w:rsid w:val="00D26CC3"/>
    <w:rsid w:val="00D27378"/>
    <w:rsid w:val="00D30721"/>
    <w:rsid w:val="00D3110E"/>
    <w:rsid w:val="00D44787"/>
    <w:rsid w:val="00D45A73"/>
    <w:rsid w:val="00D50EDA"/>
    <w:rsid w:val="00D52A52"/>
    <w:rsid w:val="00D52DB4"/>
    <w:rsid w:val="00D57075"/>
    <w:rsid w:val="00D6372C"/>
    <w:rsid w:val="00D724B8"/>
    <w:rsid w:val="00D75B76"/>
    <w:rsid w:val="00D77D46"/>
    <w:rsid w:val="00D8045C"/>
    <w:rsid w:val="00D821EC"/>
    <w:rsid w:val="00D838C2"/>
    <w:rsid w:val="00D839E0"/>
    <w:rsid w:val="00D87DA1"/>
    <w:rsid w:val="00DA181A"/>
    <w:rsid w:val="00DB46E0"/>
    <w:rsid w:val="00DB57EE"/>
    <w:rsid w:val="00DC1248"/>
    <w:rsid w:val="00DC1ADA"/>
    <w:rsid w:val="00DC6B12"/>
    <w:rsid w:val="00DD2AB1"/>
    <w:rsid w:val="00DD3161"/>
    <w:rsid w:val="00DF0E11"/>
    <w:rsid w:val="00DF6260"/>
    <w:rsid w:val="00E06DD9"/>
    <w:rsid w:val="00E26E63"/>
    <w:rsid w:val="00E31356"/>
    <w:rsid w:val="00E32FBB"/>
    <w:rsid w:val="00E40946"/>
    <w:rsid w:val="00E429B2"/>
    <w:rsid w:val="00E47437"/>
    <w:rsid w:val="00E47809"/>
    <w:rsid w:val="00E55307"/>
    <w:rsid w:val="00E704AE"/>
    <w:rsid w:val="00E73162"/>
    <w:rsid w:val="00E75E54"/>
    <w:rsid w:val="00E7790D"/>
    <w:rsid w:val="00EA437B"/>
    <w:rsid w:val="00EA735F"/>
    <w:rsid w:val="00EB209B"/>
    <w:rsid w:val="00EB34F7"/>
    <w:rsid w:val="00EB502C"/>
    <w:rsid w:val="00EC2964"/>
    <w:rsid w:val="00EC54A4"/>
    <w:rsid w:val="00EF6F1E"/>
    <w:rsid w:val="00F05879"/>
    <w:rsid w:val="00F1181A"/>
    <w:rsid w:val="00F136B1"/>
    <w:rsid w:val="00F15DF5"/>
    <w:rsid w:val="00F169D7"/>
    <w:rsid w:val="00F21747"/>
    <w:rsid w:val="00F223B3"/>
    <w:rsid w:val="00F326A2"/>
    <w:rsid w:val="00F45DF4"/>
    <w:rsid w:val="00F62878"/>
    <w:rsid w:val="00F646BD"/>
    <w:rsid w:val="00F67F19"/>
    <w:rsid w:val="00F773F4"/>
    <w:rsid w:val="00F80949"/>
    <w:rsid w:val="00F85547"/>
    <w:rsid w:val="00F85557"/>
    <w:rsid w:val="00FA136D"/>
    <w:rsid w:val="00FB0629"/>
    <w:rsid w:val="00FB42A0"/>
    <w:rsid w:val="00FE46E3"/>
    <w:rsid w:val="00FE7707"/>
    <w:rsid w:val="00FF06F5"/>
    <w:rsid w:val="00FF0B38"/>
    <w:rsid w:val="00FF1C7A"/>
    <w:rsid w:val="00FF3043"/>
    <w:rsid w:val="00FF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52"/>
  </w:style>
  <w:style w:type="paragraph" w:styleId="1">
    <w:name w:val="heading 1"/>
    <w:basedOn w:val="a"/>
    <w:link w:val="10"/>
    <w:qFormat/>
    <w:rsid w:val="006A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6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A6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6C26"/>
    <w:rPr>
      <w:color w:val="0000FF"/>
      <w:u w:val="single"/>
    </w:rPr>
  </w:style>
  <w:style w:type="character" w:customStyle="1" w:styleId="2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locked/>
    <w:rsid w:val="000E3EB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"/>
    <w:basedOn w:val="a"/>
    <w:link w:val="2"/>
    <w:uiPriority w:val="99"/>
    <w:unhideWhenUsed/>
    <w:qFormat/>
    <w:rsid w:val="000E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3EB6"/>
    <w:rPr>
      <w:b/>
      <w:bCs/>
    </w:rPr>
  </w:style>
  <w:style w:type="paragraph" w:styleId="a9">
    <w:name w:val="List Paragraph"/>
    <w:basedOn w:val="a"/>
    <w:uiPriority w:val="34"/>
    <w:qFormat/>
    <w:rsid w:val="006A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0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9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0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39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garin.mai.ru" TargetMode="External"/><Relationship Id="rId13" Type="http://schemas.openxmlformats.org/officeDocument/2006/relationships/hyperlink" Target="http://www.gagarin.mai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Q-BiC.kz" TargetMode="External"/><Relationship Id="rId12" Type="http://schemas.openxmlformats.org/officeDocument/2006/relationships/hyperlink" Target="https://gagarin.mai.ru/files/GOST_7_0_5-200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agarin.mai.ru/lk/app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garin.mai.ru" TargetMode="External"/><Relationship Id="rId10" Type="http://schemas.openxmlformats.org/officeDocument/2006/relationships/hyperlink" Target="https://mai.ru/au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garin.mai.ru/lk" TargetMode="External"/><Relationship Id="rId14" Type="http://schemas.openxmlformats.org/officeDocument/2006/relationships/hyperlink" Target="mailto:voshod.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A213-CEB3-4625-8BE3-E57B978A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18</cp:revision>
  <cp:lastPrinted>2022-12-05T06:18:00Z</cp:lastPrinted>
  <dcterms:created xsi:type="dcterms:W3CDTF">2023-01-23T00:54:00Z</dcterms:created>
  <dcterms:modified xsi:type="dcterms:W3CDTF">2023-01-31T23:26:00Z</dcterms:modified>
</cp:coreProperties>
</file>